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DB597C" w14:textId="77777777" w:rsidR="005D2269" w:rsidRPr="005D2269" w:rsidRDefault="005D2269" w:rsidP="005D2269">
      <w:p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4004E72D" w14:textId="77777777" w:rsidR="005D2269" w:rsidRPr="005D2269" w:rsidRDefault="005D2269" w:rsidP="005D2269">
      <w:p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4299712F" w14:textId="17259060" w:rsidR="00602874" w:rsidRPr="005D2269" w:rsidRDefault="006669D3" w:rsidP="005D2269">
      <w:p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  <w:lang w:val="en-US"/>
        </w:rPr>
      </w:pPr>
      <w:r w:rsidRPr="005D2269">
        <w:rPr>
          <w:rFonts w:asciiTheme="majorHAnsi" w:hAnsiTheme="majorHAnsi" w:cstheme="majorHAnsi"/>
          <w:b/>
          <w:sz w:val="22"/>
          <w:szCs w:val="22"/>
          <w:lang w:val="en-US"/>
        </w:rPr>
        <w:t>AREA CH</w:t>
      </w:r>
      <w:r w:rsidR="00602874" w:rsidRPr="005D2269">
        <w:rPr>
          <w:rFonts w:asciiTheme="majorHAnsi" w:hAnsiTheme="majorHAnsi" w:cstheme="majorHAnsi"/>
          <w:b/>
          <w:sz w:val="22"/>
          <w:szCs w:val="22"/>
          <w:lang w:val="en-US"/>
        </w:rPr>
        <w:t>E</w:t>
      </w:r>
      <w:r w:rsidRPr="005D2269">
        <w:rPr>
          <w:rFonts w:asciiTheme="majorHAnsi" w:hAnsiTheme="majorHAnsi" w:cstheme="majorHAnsi"/>
          <w:b/>
          <w:sz w:val="22"/>
          <w:szCs w:val="22"/>
          <w:lang w:val="en-US"/>
        </w:rPr>
        <w:t>CK UP</w:t>
      </w:r>
    </w:p>
    <w:p w14:paraId="1397EE9F" w14:textId="0F2A2CDC" w:rsidR="00602874" w:rsidRPr="005D2269" w:rsidRDefault="00602874" w:rsidP="005D2269">
      <w:pPr>
        <w:spacing w:line="276" w:lineRule="auto"/>
        <w:jc w:val="both"/>
        <w:rPr>
          <w:rFonts w:asciiTheme="majorHAnsi" w:hAnsiTheme="majorHAnsi" w:cstheme="majorHAnsi"/>
          <w:i/>
          <w:sz w:val="22"/>
          <w:szCs w:val="22"/>
          <w:lang w:val="en-US"/>
        </w:rPr>
      </w:pPr>
      <w:r w:rsidRPr="005D2269">
        <w:rPr>
          <w:rFonts w:asciiTheme="majorHAnsi" w:hAnsiTheme="majorHAnsi" w:cstheme="majorHAnsi"/>
          <w:i/>
          <w:sz w:val="22"/>
          <w:szCs w:val="22"/>
          <w:lang w:val="en-US"/>
        </w:rPr>
        <w:t xml:space="preserve">3 Parole </w:t>
      </w:r>
      <w:proofErr w:type="spellStart"/>
      <w:r w:rsidRPr="005D2269">
        <w:rPr>
          <w:rFonts w:asciiTheme="majorHAnsi" w:hAnsiTheme="majorHAnsi" w:cstheme="majorHAnsi"/>
          <w:i/>
          <w:sz w:val="22"/>
          <w:szCs w:val="22"/>
          <w:lang w:val="en-US"/>
        </w:rPr>
        <w:t>chiave</w:t>
      </w:r>
      <w:proofErr w:type="spellEnd"/>
      <w:r w:rsidRPr="005D2269">
        <w:rPr>
          <w:rFonts w:asciiTheme="majorHAnsi" w:hAnsiTheme="majorHAnsi" w:cstheme="majorHAnsi"/>
          <w:i/>
          <w:sz w:val="22"/>
          <w:szCs w:val="22"/>
          <w:lang w:val="en-US"/>
        </w:rPr>
        <w:t xml:space="preserve"> per </w:t>
      </w:r>
      <w:proofErr w:type="spellStart"/>
      <w:r w:rsidRPr="005D2269">
        <w:rPr>
          <w:rFonts w:asciiTheme="majorHAnsi" w:hAnsiTheme="majorHAnsi" w:cstheme="majorHAnsi"/>
          <w:i/>
          <w:sz w:val="22"/>
          <w:szCs w:val="22"/>
          <w:lang w:val="en-US"/>
        </w:rPr>
        <w:t>il</w:t>
      </w:r>
      <w:proofErr w:type="spellEnd"/>
      <w:r w:rsidRPr="005D2269">
        <w:rPr>
          <w:rFonts w:asciiTheme="majorHAnsi" w:hAnsiTheme="majorHAnsi" w:cstheme="majorHAnsi"/>
          <w:i/>
          <w:sz w:val="22"/>
          <w:szCs w:val="22"/>
          <w:lang w:val="en-US"/>
        </w:rPr>
        <w:t xml:space="preserve"> check up</w:t>
      </w:r>
    </w:p>
    <w:p w14:paraId="7C274E37" w14:textId="5965FE58" w:rsidR="00602874" w:rsidRPr="005D2269" w:rsidRDefault="00602874" w:rsidP="005D2269">
      <w:p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it-IT"/>
        </w:rPr>
      </w:pPr>
      <w:r w:rsidRPr="005D2269">
        <w:rPr>
          <w:rFonts w:asciiTheme="majorHAnsi" w:hAnsiTheme="majorHAnsi" w:cstheme="majorHAnsi"/>
          <w:sz w:val="22"/>
          <w:szCs w:val="22"/>
          <w:lang w:val="it-IT"/>
        </w:rPr>
        <w:t>Analizzare</w:t>
      </w:r>
    </w:p>
    <w:p w14:paraId="38DB6D55" w14:textId="4A15D4C7" w:rsidR="00602874" w:rsidRPr="005D2269" w:rsidRDefault="00602874" w:rsidP="005D2269">
      <w:p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it-IT"/>
        </w:rPr>
      </w:pPr>
      <w:r w:rsidRPr="005D2269">
        <w:rPr>
          <w:rFonts w:asciiTheme="majorHAnsi" w:hAnsiTheme="majorHAnsi" w:cstheme="majorHAnsi"/>
          <w:sz w:val="22"/>
          <w:szCs w:val="22"/>
          <w:lang w:val="it-IT"/>
        </w:rPr>
        <w:t>Comprendere</w:t>
      </w:r>
    </w:p>
    <w:p w14:paraId="45683714" w14:textId="4290C051" w:rsidR="00602874" w:rsidRPr="005D2269" w:rsidRDefault="00602874" w:rsidP="005D2269">
      <w:p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it-IT"/>
        </w:rPr>
      </w:pPr>
      <w:r w:rsidRPr="005D2269">
        <w:rPr>
          <w:rFonts w:asciiTheme="majorHAnsi" w:hAnsiTheme="majorHAnsi" w:cstheme="majorHAnsi"/>
          <w:sz w:val="22"/>
          <w:szCs w:val="22"/>
          <w:lang w:val="it-IT"/>
        </w:rPr>
        <w:t>Sistematizzare</w:t>
      </w:r>
    </w:p>
    <w:p w14:paraId="140BBC9B" w14:textId="77777777" w:rsidR="006669D3" w:rsidRPr="005D2269" w:rsidRDefault="006669D3" w:rsidP="005D2269">
      <w:p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it-IT"/>
        </w:rPr>
      </w:pPr>
    </w:p>
    <w:p w14:paraId="0363B102" w14:textId="77777777" w:rsidR="003F5765" w:rsidRPr="005D2269" w:rsidRDefault="003F5765" w:rsidP="005D2269">
      <w:pPr>
        <w:spacing w:line="276" w:lineRule="auto"/>
        <w:jc w:val="both"/>
        <w:rPr>
          <w:rFonts w:asciiTheme="majorHAnsi" w:hAnsiTheme="majorHAnsi" w:cstheme="majorHAnsi"/>
          <w:i/>
          <w:sz w:val="22"/>
          <w:szCs w:val="22"/>
          <w:lang w:val="it-IT"/>
        </w:rPr>
      </w:pPr>
      <w:r w:rsidRPr="005D2269">
        <w:rPr>
          <w:rFonts w:asciiTheme="majorHAnsi" w:hAnsiTheme="majorHAnsi" w:cstheme="majorHAnsi"/>
          <w:i/>
          <w:sz w:val="22"/>
          <w:szCs w:val="22"/>
          <w:lang w:val="it-IT"/>
        </w:rPr>
        <w:t>Linee-guida e strumenti per l’analisi organizzativa</w:t>
      </w:r>
    </w:p>
    <w:p w14:paraId="73A1883E" w14:textId="7140D077" w:rsidR="008A2962" w:rsidRPr="005D2269" w:rsidRDefault="003F5765" w:rsidP="005D2269">
      <w:p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it-IT"/>
        </w:rPr>
      </w:pPr>
      <w:r w:rsidRPr="005D2269">
        <w:rPr>
          <w:rFonts w:asciiTheme="majorHAnsi" w:hAnsiTheme="majorHAnsi" w:cstheme="majorHAnsi"/>
          <w:sz w:val="22"/>
          <w:szCs w:val="22"/>
          <w:lang w:val="it-IT"/>
        </w:rPr>
        <w:t xml:space="preserve">Il </w:t>
      </w:r>
      <w:proofErr w:type="spellStart"/>
      <w:r w:rsidRPr="005D2269">
        <w:rPr>
          <w:rFonts w:asciiTheme="majorHAnsi" w:hAnsiTheme="majorHAnsi" w:cstheme="majorHAnsi"/>
          <w:sz w:val="22"/>
          <w:szCs w:val="22"/>
          <w:lang w:val="it-IT"/>
        </w:rPr>
        <w:t>check</w:t>
      </w:r>
      <w:proofErr w:type="spellEnd"/>
      <w:r w:rsidRPr="005D2269">
        <w:rPr>
          <w:rFonts w:asciiTheme="majorHAnsi" w:hAnsiTheme="majorHAnsi" w:cstheme="majorHAnsi"/>
          <w:sz w:val="22"/>
          <w:szCs w:val="22"/>
          <w:lang w:val="it-IT"/>
        </w:rPr>
        <w:t xml:space="preserve"> up </w:t>
      </w:r>
      <w:r w:rsidR="007401E8" w:rsidRPr="005D2269">
        <w:rPr>
          <w:rFonts w:asciiTheme="majorHAnsi" w:hAnsiTheme="majorHAnsi" w:cstheme="majorHAnsi"/>
          <w:sz w:val="22"/>
          <w:szCs w:val="22"/>
          <w:lang w:val="it-IT"/>
        </w:rPr>
        <w:t xml:space="preserve">è lo strumento che consente di avere una fotografia precisa dell’Amministrazione in un determinato momento. È </w:t>
      </w:r>
      <w:r w:rsidR="00115E28" w:rsidRPr="005D2269">
        <w:rPr>
          <w:rFonts w:asciiTheme="majorHAnsi" w:hAnsiTheme="majorHAnsi" w:cstheme="majorHAnsi"/>
          <w:sz w:val="22"/>
          <w:szCs w:val="22"/>
          <w:lang w:val="it-IT"/>
        </w:rPr>
        <w:t>la fase di avvio del percorso</w:t>
      </w:r>
      <w:r w:rsidR="00180FDC" w:rsidRPr="005D2269">
        <w:rPr>
          <w:rFonts w:asciiTheme="majorHAnsi" w:hAnsiTheme="majorHAnsi" w:cstheme="majorHAnsi"/>
          <w:sz w:val="22"/>
          <w:szCs w:val="22"/>
          <w:lang w:val="it-IT"/>
        </w:rPr>
        <w:t xml:space="preserve">. </w:t>
      </w:r>
    </w:p>
    <w:p w14:paraId="415C470A" w14:textId="012F71E0" w:rsidR="008A2962" w:rsidRPr="005D2269" w:rsidRDefault="008A2962" w:rsidP="005D2269">
      <w:p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it-IT"/>
        </w:rPr>
      </w:pPr>
      <w:r w:rsidRPr="005D2269">
        <w:rPr>
          <w:rFonts w:asciiTheme="majorHAnsi" w:hAnsiTheme="majorHAnsi" w:cstheme="majorHAnsi"/>
          <w:sz w:val="22"/>
          <w:szCs w:val="22"/>
          <w:lang w:val="it-IT"/>
        </w:rPr>
        <w:t>Per poter pianificare un’innovazione organizzativa, è necessario conoscere approfonditamente la situazione di partenza</w:t>
      </w:r>
      <w:r w:rsidR="00AB1606" w:rsidRPr="005D2269">
        <w:rPr>
          <w:rFonts w:asciiTheme="majorHAnsi" w:hAnsiTheme="majorHAnsi" w:cstheme="majorHAnsi"/>
          <w:sz w:val="22"/>
          <w:szCs w:val="22"/>
          <w:lang w:val="it-IT"/>
        </w:rPr>
        <w:t>, per individuare gli obiettivi e le strategie più adeguate al contesto dell’Amministrazione.</w:t>
      </w:r>
    </w:p>
    <w:p w14:paraId="52798681" w14:textId="416F71E0" w:rsidR="003F5765" w:rsidRPr="005D2269" w:rsidRDefault="00180FDC" w:rsidP="005D2269">
      <w:p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it-IT"/>
        </w:rPr>
      </w:pPr>
      <w:r w:rsidRPr="005D2269">
        <w:rPr>
          <w:rFonts w:asciiTheme="majorHAnsi" w:hAnsiTheme="majorHAnsi" w:cstheme="majorHAnsi"/>
          <w:sz w:val="22"/>
          <w:szCs w:val="22"/>
          <w:lang w:val="it-IT"/>
        </w:rPr>
        <w:t xml:space="preserve">Il </w:t>
      </w:r>
      <w:proofErr w:type="spellStart"/>
      <w:r w:rsidRPr="005D2269">
        <w:rPr>
          <w:rFonts w:asciiTheme="majorHAnsi" w:hAnsiTheme="majorHAnsi" w:cstheme="majorHAnsi"/>
          <w:sz w:val="22"/>
          <w:szCs w:val="22"/>
          <w:lang w:val="it-IT"/>
        </w:rPr>
        <w:t>check</w:t>
      </w:r>
      <w:proofErr w:type="spellEnd"/>
      <w:r w:rsidRPr="005D2269">
        <w:rPr>
          <w:rFonts w:asciiTheme="majorHAnsi" w:hAnsiTheme="majorHAnsi" w:cstheme="majorHAnsi"/>
          <w:sz w:val="22"/>
          <w:szCs w:val="22"/>
          <w:lang w:val="it-IT"/>
        </w:rPr>
        <w:t xml:space="preserve"> up consente di ottenere un quadro del</w:t>
      </w:r>
      <w:r w:rsidR="00AB1606" w:rsidRPr="005D2269">
        <w:rPr>
          <w:rFonts w:asciiTheme="majorHAnsi" w:hAnsiTheme="majorHAnsi" w:cstheme="majorHAnsi"/>
          <w:sz w:val="22"/>
          <w:szCs w:val="22"/>
          <w:lang w:val="it-IT"/>
        </w:rPr>
        <w:t>la situazione di partenza dell’A</w:t>
      </w:r>
      <w:r w:rsidR="007401E8" w:rsidRPr="005D2269">
        <w:rPr>
          <w:rFonts w:asciiTheme="majorHAnsi" w:hAnsiTheme="majorHAnsi" w:cstheme="majorHAnsi"/>
          <w:sz w:val="22"/>
          <w:szCs w:val="22"/>
          <w:lang w:val="it-IT"/>
        </w:rPr>
        <w:t xml:space="preserve">mministrazione, </w:t>
      </w:r>
      <w:r w:rsidRPr="005D2269">
        <w:rPr>
          <w:rFonts w:asciiTheme="majorHAnsi" w:hAnsiTheme="majorHAnsi" w:cstheme="majorHAnsi"/>
          <w:sz w:val="22"/>
          <w:szCs w:val="22"/>
          <w:lang w:val="it-IT"/>
        </w:rPr>
        <w:t>attraverso la raccolta e l’analisi di dati qualitativi e quantitativi su:</w:t>
      </w:r>
    </w:p>
    <w:p w14:paraId="214FF53B" w14:textId="1DC54E9A" w:rsidR="00180FDC" w:rsidRPr="005D2269" w:rsidRDefault="00180FDC" w:rsidP="005D2269">
      <w:pPr>
        <w:pStyle w:val="Paragrafoelenco"/>
        <w:numPr>
          <w:ilvl w:val="0"/>
          <w:numId w:val="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it-IT"/>
        </w:rPr>
      </w:pPr>
      <w:r w:rsidRPr="005D2269">
        <w:rPr>
          <w:rFonts w:asciiTheme="majorHAnsi" w:hAnsiTheme="majorHAnsi" w:cstheme="majorHAnsi"/>
          <w:sz w:val="22"/>
          <w:szCs w:val="22"/>
          <w:lang w:val="it-IT"/>
        </w:rPr>
        <w:t>caratteristiche, esigenze, bisogni, competenze del personale</w:t>
      </w:r>
    </w:p>
    <w:p w14:paraId="21C7DD0E" w14:textId="6601D467" w:rsidR="00180FDC" w:rsidRPr="005D2269" w:rsidRDefault="00180FDC" w:rsidP="005D2269">
      <w:pPr>
        <w:pStyle w:val="Paragrafoelenco"/>
        <w:numPr>
          <w:ilvl w:val="0"/>
          <w:numId w:val="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it-IT"/>
        </w:rPr>
      </w:pPr>
      <w:r w:rsidRPr="005D2269">
        <w:rPr>
          <w:rFonts w:asciiTheme="majorHAnsi" w:hAnsiTheme="majorHAnsi" w:cstheme="majorHAnsi"/>
          <w:sz w:val="22"/>
          <w:szCs w:val="22"/>
          <w:lang w:val="it-IT"/>
        </w:rPr>
        <w:t xml:space="preserve">cultura </w:t>
      </w:r>
      <w:r w:rsidR="007401E8" w:rsidRPr="005D2269">
        <w:rPr>
          <w:rFonts w:asciiTheme="majorHAnsi" w:hAnsiTheme="majorHAnsi" w:cstheme="majorHAnsi"/>
          <w:sz w:val="22"/>
          <w:szCs w:val="22"/>
          <w:lang w:val="it-IT"/>
        </w:rPr>
        <w:t>e clima organizzativo</w:t>
      </w:r>
    </w:p>
    <w:p w14:paraId="5BCEFE9C" w14:textId="3E146890" w:rsidR="00180FDC" w:rsidRPr="005D2269" w:rsidRDefault="007401E8" w:rsidP="005D2269">
      <w:pPr>
        <w:pStyle w:val="Paragrafoelenco"/>
        <w:numPr>
          <w:ilvl w:val="0"/>
          <w:numId w:val="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it-IT"/>
        </w:rPr>
      </w:pPr>
      <w:r w:rsidRPr="005D2269">
        <w:rPr>
          <w:rFonts w:asciiTheme="majorHAnsi" w:hAnsiTheme="majorHAnsi" w:cstheme="majorHAnsi"/>
          <w:sz w:val="22"/>
          <w:szCs w:val="22"/>
          <w:lang w:val="it-IT"/>
        </w:rPr>
        <w:t>capacità di apertura al cambiamento della struttura</w:t>
      </w:r>
    </w:p>
    <w:p w14:paraId="30BA417C" w14:textId="77777777" w:rsidR="00324625" w:rsidRPr="005D2269" w:rsidRDefault="00324625" w:rsidP="005D2269">
      <w:p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it-IT"/>
        </w:rPr>
      </w:pPr>
    </w:p>
    <w:p w14:paraId="265F5374" w14:textId="06AC4C7F" w:rsidR="005D2269" w:rsidRPr="005D2269" w:rsidRDefault="005D2269" w:rsidP="005D2269">
      <w:p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it-IT"/>
        </w:rPr>
      </w:pPr>
      <w:r w:rsidRPr="005D2269">
        <w:rPr>
          <w:rFonts w:asciiTheme="majorHAnsi" w:hAnsiTheme="majorHAnsi" w:cstheme="majorHAnsi"/>
          <w:sz w:val="22"/>
          <w:szCs w:val="22"/>
          <w:lang w:val="it-IT"/>
        </w:rPr>
        <w:t xml:space="preserve">Nella fase di </w:t>
      </w:r>
      <w:proofErr w:type="spellStart"/>
      <w:r w:rsidRPr="005D2269">
        <w:rPr>
          <w:rFonts w:asciiTheme="majorHAnsi" w:hAnsiTheme="majorHAnsi" w:cstheme="majorHAnsi"/>
          <w:sz w:val="22"/>
          <w:szCs w:val="22"/>
          <w:lang w:val="it-IT"/>
        </w:rPr>
        <w:t>check</w:t>
      </w:r>
      <w:proofErr w:type="spellEnd"/>
      <w:r w:rsidRPr="005D2269">
        <w:rPr>
          <w:rFonts w:asciiTheme="majorHAnsi" w:hAnsiTheme="majorHAnsi" w:cstheme="majorHAnsi"/>
          <w:sz w:val="22"/>
          <w:szCs w:val="22"/>
          <w:lang w:val="it-IT"/>
        </w:rPr>
        <w:t xml:space="preserve"> up, è utile che l’Amministrazione svolga:</w:t>
      </w:r>
    </w:p>
    <w:p w14:paraId="0A52896D" w14:textId="192A7CB8" w:rsidR="005D2269" w:rsidRPr="005D2269" w:rsidRDefault="005D2269" w:rsidP="005D2269">
      <w:pPr>
        <w:pStyle w:val="Testo"/>
        <w:numPr>
          <w:ilvl w:val="0"/>
          <w:numId w:val="7"/>
        </w:numPr>
        <w:spacing w:line="307" w:lineRule="auto"/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</w:pPr>
      <w:r w:rsidRPr="005D2269"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  <w:t>Un’</w:t>
      </w:r>
      <w:r w:rsidRPr="00087BB2">
        <w:rPr>
          <w:rFonts w:asciiTheme="majorHAnsi" w:eastAsiaTheme="minorEastAsia" w:hAnsiTheme="majorHAnsi" w:cstheme="majorHAnsi"/>
          <w:i/>
          <w:color w:val="auto"/>
          <w:sz w:val="22"/>
          <w:szCs w:val="22"/>
          <w:lang w:eastAsia="it-IT"/>
        </w:rPr>
        <w:t>analisi quali-quantitativa del personale</w:t>
      </w:r>
      <w:r w:rsidRPr="005D2269"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  <w:t xml:space="preserve">, comprendente informazioni sulle caratteristiche del personale, l’analisi dei fabbisogni in termini di conciliazione vita-lavoro e di benessere organizzativo, tenendo in considerazione il genere, l’età, altre variabili socio-anagrafiche, l’inquadramento contrattuale, le aree professionali e i settori/uffici di appartenenza, le modalità operative/organizzative; ritmi di vita e di lavoro congeniali (o meno) all’attivazione di un percorso di flessibilità; analisi dei </w:t>
      </w:r>
      <w:proofErr w:type="spellStart"/>
      <w:r w:rsidRPr="005D2269"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  <w:t>pre</w:t>
      </w:r>
      <w:proofErr w:type="spellEnd"/>
      <w:r w:rsidRPr="005D2269"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  <w:t xml:space="preserve">-requisiti per </w:t>
      </w:r>
      <w:r w:rsidR="00774040"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  <w:t>il lavoro agile</w:t>
      </w:r>
      <w:r w:rsidRPr="005D2269"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  <w:t xml:space="preserve"> (ad esempio competenze digitali e utilizzo degli strumenti ICT dentro e fuori l’organizzazione); analisi della motivazione a lavorare in modalità agile. </w:t>
      </w:r>
    </w:p>
    <w:p w14:paraId="56635F28" w14:textId="49F3D9A8" w:rsidR="00087BB2" w:rsidRPr="00087BB2" w:rsidRDefault="005D2269" w:rsidP="00087BB2">
      <w:pPr>
        <w:pStyle w:val="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720"/>
        </w:tabs>
        <w:spacing w:line="307" w:lineRule="auto"/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</w:pPr>
      <w:r w:rsidRPr="00087BB2">
        <w:rPr>
          <w:rFonts w:asciiTheme="majorHAnsi" w:eastAsiaTheme="minorEastAsia" w:hAnsiTheme="majorHAnsi" w:cstheme="majorHAnsi"/>
          <w:i/>
          <w:color w:val="auto"/>
          <w:sz w:val="22"/>
          <w:szCs w:val="22"/>
          <w:lang w:eastAsia="it-IT"/>
        </w:rPr>
        <w:t>Esempio di informazioni e dati per l’analisi quali-quantitativa del person</w:t>
      </w:r>
      <w:r w:rsidRPr="005D2269"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  <w:t>ale</w:t>
      </w:r>
    </w:p>
    <w:p w14:paraId="3D465514" w14:textId="66E0D954" w:rsidR="00087BB2" w:rsidRDefault="00087BB2" w:rsidP="00087BB2">
      <w:pPr>
        <w:pStyle w:val="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720"/>
        </w:tabs>
        <w:spacing w:after="60" w:line="276" w:lineRule="auto"/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</w:pPr>
      <w:r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  <w:t xml:space="preserve">Informazioni sul personale dell’Amministrazione </w:t>
      </w:r>
      <w:r w:rsidRPr="005D2269">
        <w:rPr>
          <w:rFonts w:asciiTheme="majorHAnsi" w:hAnsiTheme="majorHAnsi" w:cstheme="majorHAnsi"/>
          <w:sz w:val="22"/>
          <w:szCs w:val="22"/>
        </w:rPr>
        <w:t>con dati disaggregati per genere ed età, inquadramento e livello contrattuale, suddivisione per Ufficio/Settore/Dipartimento</w:t>
      </w:r>
      <w:r w:rsidRPr="00087BB2"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  <w:t xml:space="preserve"> </w:t>
      </w:r>
    </w:p>
    <w:p w14:paraId="6317CD06" w14:textId="43D39181" w:rsidR="00087BB2" w:rsidRPr="00087BB2" w:rsidRDefault="00087BB2" w:rsidP="00087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I</w:t>
      </w:r>
      <w:r w:rsidRPr="00087BB2">
        <w:rPr>
          <w:rFonts w:asciiTheme="majorHAnsi" w:hAnsiTheme="majorHAnsi" w:cstheme="majorHAnsi"/>
          <w:sz w:val="22"/>
          <w:szCs w:val="22"/>
          <w:lang w:val="it-IT"/>
        </w:rPr>
        <w:t>nformazioni sul personale con prestazione oraria ridotta, per genere; informazioni sul personale con necessità afferenti alla sfera del personale (congedi, invalidi, ecc.), per genere; informazioni sulle assenze del personale, per genere</w:t>
      </w:r>
    </w:p>
    <w:p w14:paraId="4C217543" w14:textId="77777777" w:rsidR="00087BB2" w:rsidRPr="00087BB2" w:rsidRDefault="00087BB2" w:rsidP="00087BB2">
      <w:pPr>
        <w:pStyle w:val="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720"/>
        </w:tabs>
        <w:spacing w:after="60" w:line="276" w:lineRule="auto"/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</w:pPr>
      <w:r w:rsidRPr="00087BB2"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  <w:t>Informazioni sulla mobilità dei dipendenti (mezzi di trasporto utilizzati, distanza casa-lavoro, ecc.)</w:t>
      </w:r>
    </w:p>
    <w:p w14:paraId="3511085B" w14:textId="77777777" w:rsidR="00087BB2" w:rsidRPr="00087BB2" w:rsidRDefault="00087BB2" w:rsidP="00087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I</w:t>
      </w:r>
      <w:r w:rsidRPr="00087BB2">
        <w:rPr>
          <w:rFonts w:asciiTheme="majorHAnsi" w:hAnsiTheme="majorHAnsi" w:cstheme="majorHAnsi"/>
          <w:sz w:val="22"/>
          <w:szCs w:val="22"/>
          <w:lang w:val="it-IT"/>
        </w:rPr>
        <w:t>nformazioni sui profili professionali dei dipendenti</w:t>
      </w:r>
    </w:p>
    <w:p w14:paraId="1277A3D0" w14:textId="77777777" w:rsidR="00545386" w:rsidRPr="005D2269" w:rsidRDefault="00545386" w:rsidP="005D2269">
      <w:pPr>
        <w:pStyle w:val="Testo"/>
        <w:tabs>
          <w:tab w:val="clear" w:pos="720"/>
        </w:tabs>
        <w:spacing w:line="307" w:lineRule="auto"/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</w:pPr>
    </w:p>
    <w:p w14:paraId="23CE183D" w14:textId="6DE72046" w:rsidR="005D2269" w:rsidRDefault="005D2269" w:rsidP="005D2269">
      <w:pPr>
        <w:pStyle w:val="Testo"/>
        <w:numPr>
          <w:ilvl w:val="0"/>
          <w:numId w:val="7"/>
        </w:numPr>
        <w:spacing w:line="307" w:lineRule="auto"/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</w:pPr>
      <w:r w:rsidRPr="005D2269"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  <w:t>Un’</w:t>
      </w:r>
      <w:r w:rsidRPr="00087BB2">
        <w:rPr>
          <w:rFonts w:asciiTheme="majorHAnsi" w:eastAsiaTheme="minorEastAsia" w:hAnsiTheme="majorHAnsi" w:cstheme="majorHAnsi"/>
          <w:i/>
          <w:color w:val="auto"/>
          <w:sz w:val="22"/>
          <w:szCs w:val="22"/>
          <w:lang w:eastAsia="it-IT"/>
        </w:rPr>
        <w:t xml:space="preserve">analisi delle policy </w:t>
      </w:r>
      <w:r w:rsidRPr="005D2269"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  <w:t>in essere o adottate in passato in termini di organizzazione del lavoro, pari opportunità e conciliazione vita-lavoro, privacy e sicurezza, utilizzo di ICT</w:t>
      </w:r>
    </w:p>
    <w:p w14:paraId="4B6E8DC0" w14:textId="77777777" w:rsidR="00087BB2" w:rsidRDefault="00087BB2" w:rsidP="00087BB2">
      <w:pPr>
        <w:pStyle w:val="Testo"/>
        <w:tabs>
          <w:tab w:val="clear" w:pos="720"/>
        </w:tabs>
        <w:spacing w:line="307" w:lineRule="auto"/>
        <w:ind w:left="360"/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</w:pPr>
    </w:p>
    <w:p w14:paraId="0F2DA59E" w14:textId="045DAD19" w:rsidR="00087BB2" w:rsidRDefault="00087BB2" w:rsidP="00087BB2">
      <w:pPr>
        <w:pStyle w:val="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720"/>
        </w:tabs>
        <w:spacing w:after="60" w:line="276" w:lineRule="auto"/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</w:pPr>
      <w:r w:rsidRPr="00087BB2">
        <w:rPr>
          <w:rFonts w:asciiTheme="majorHAnsi" w:eastAsiaTheme="minorEastAsia" w:hAnsiTheme="majorHAnsi" w:cstheme="majorHAnsi"/>
          <w:i/>
          <w:color w:val="auto"/>
          <w:sz w:val="22"/>
          <w:szCs w:val="22"/>
          <w:lang w:eastAsia="it-IT"/>
        </w:rPr>
        <w:t xml:space="preserve">Esempio di informazioni </w:t>
      </w:r>
      <w:r>
        <w:rPr>
          <w:rFonts w:asciiTheme="majorHAnsi" w:eastAsiaTheme="minorEastAsia" w:hAnsiTheme="majorHAnsi" w:cstheme="majorHAnsi"/>
          <w:i/>
          <w:color w:val="auto"/>
          <w:sz w:val="22"/>
          <w:szCs w:val="22"/>
          <w:lang w:eastAsia="it-IT"/>
        </w:rPr>
        <w:t>per l’analisi delle policy</w:t>
      </w:r>
    </w:p>
    <w:p w14:paraId="0926AF88" w14:textId="77777777" w:rsidR="00087BB2" w:rsidRDefault="00087BB2" w:rsidP="00087BB2">
      <w:pPr>
        <w:pStyle w:val="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720"/>
        </w:tabs>
        <w:spacing w:after="60" w:line="276" w:lineRule="auto"/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</w:pPr>
      <w:r w:rsidRPr="00087BB2"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  <w:t>Politiche aziendali sul personale, in particolare sulla flessibilità e sulla conciliazione</w:t>
      </w:r>
    </w:p>
    <w:p w14:paraId="18C642B8" w14:textId="08FA4DE3" w:rsidR="00087BB2" w:rsidRPr="00087BB2" w:rsidRDefault="00087BB2" w:rsidP="00087BB2">
      <w:pPr>
        <w:pStyle w:val="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720"/>
        </w:tabs>
        <w:spacing w:after="60" w:line="276" w:lineRule="auto"/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</w:pPr>
      <w:r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  <w:t>Politiche aziendali sulla privacy e accesso ai dati</w:t>
      </w:r>
    </w:p>
    <w:p w14:paraId="2C289D05" w14:textId="77777777" w:rsidR="00087BB2" w:rsidRPr="00087BB2" w:rsidRDefault="00087BB2" w:rsidP="00087BB2">
      <w:pPr>
        <w:pStyle w:val="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720"/>
        </w:tabs>
        <w:spacing w:after="60" w:line="276" w:lineRule="auto"/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</w:pPr>
      <w:r w:rsidRPr="00087BB2"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  <w:lastRenderedPageBreak/>
        <w:t>Eventuali progetti su telelavoro o altre forme di flessibilità o conciliazione</w:t>
      </w:r>
    </w:p>
    <w:p w14:paraId="2D1C8D87" w14:textId="77777777" w:rsidR="00087BB2" w:rsidRPr="00087BB2" w:rsidRDefault="00087BB2" w:rsidP="00087BB2">
      <w:pPr>
        <w:pStyle w:val="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720"/>
        </w:tabs>
        <w:spacing w:after="60" w:line="276" w:lineRule="auto"/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</w:pPr>
      <w:r w:rsidRPr="00087BB2"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  <w:t>Eventuali informazioni sul benessere organizzativo (anche ricerche o progetti conclusi)</w:t>
      </w:r>
    </w:p>
    <w:p w14:paraId="6B40E3AD" w14:textId="77777777" w:rsidR="00087BB2" w:rsidRPr="005D2269" w:rsidRDefault="00087BB2" w:rsidP="00087BB2">
      <w:pPr>
        <w:pStyle w:val="Testo"/>
        <w:tabs>
          <w:tab w:val="clear" w:pos="720"/>
        </w:tabs>
        <w:spacing w:line="307" w:lineRule="auto"/>
        <w:ind w:left="360"/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</w:pPr>
    </w:p>
    <w:p w14:paraId="32115365" w14:textId="41C4C312" w:rsidR="005D2269" w:rsidRDefault="005D2269" w:rsidP="005D2269">
      <w:pPr>
        <w:pStyle w:val="Testo"/>
        <w:numPr>
          <w:ilvl w:val="0"/>
          <w:numId w:val="7"/>
        </w:numPr>
        <w:spacing w:line="307" w:lineRule="auto"/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</w:pPr>
      <w:r w:rsidRPr="005D2269"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  <w:t>Un’</w:t>
      </w:r>
      <w:r w:rsidRPr="00087BB2">
        <w:rPr>
          <w:rFonts w:asciiTheme="majorHAnsi" w:eastAsiaTheme="minorEastAsia" w:hAnsiTheme="majorHAnsi" w:cstheme="majorHAnsi"/>
          <w:i/>
          <w:color w:val="auto"/>
          <w:sz w:val="22"/>
          <w:szCs w:val="22"/>
          <w:lang w:eastAsia="it-IT"/>
        </w:rPr>
        <w:t>analisi organizzativa dell’Amministrazione</w:t>
      </w:r>
      <w:r w:rsidRPr="005D2269"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  <w:t xml:space="preserve">, atta a raccogliere informazioni su organigramma e modello lavorativo adottato (es. orario di lavoro, eventuali forme flessibili già adottate, ecc.); analisi delle attività e dei processi (compreso prestazioni e interazioni richieste da ciascuna attività per individuare quelle che non è possibile includere nella sperimentazione); individuazione delle culture organizzative, intese come le effettive modalità e abitudini di lavoro che si stabiliscono all’interno dei gruppi. </w:t>
      </w:r>
    </w:p>
    <w:p w14:paraId="32C47578" w14:textId="77777777" w:rsidR="00087BB2" w:rsidRDefault="00087BB2" w:rsidP="00087BB2">
      <w:pPr>
        <w:pStyle w:val="Testo"/>
        <w:tabs>
          <w:tab w:val="clear" w:pos="720"/>
        </w:tabs>
        <w:spacing w:line="307" w:lineRule="auto"/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</w:pPr>
    </w:p>
    <w:p w14:paraId="35DB41E7" w14:textId="43EDFEC4" w:rsidR="00087BB2" w:rsidRPr="00C00342" w:rsidRDefault="00087BB2" w:rsidP="00C00342">
      <w:pPr>
        <w:pStyle w:val="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720"/>
        </w:tabs>
        <w:spacing w:line="307" w:lineRule="auto"/>
        <w:rPr>
          <w:rFonts w:asciiTheme="majorHAnsi" w:eastAsiaTheme="minorEastAsia" w:hAnsiTheme="majorHAnsi" w:cstheme="majorHAnsi"/>
          <w:i/>
          <w:color w:val="auto"/>
          <w:sz w:val="22"/>
          <w:szCs w:val="22"/>
          <w:lang w:eastAsia="it-IT"/>
        </w:rPr>
      </w:pPr>
      <w:r w:rsidRPr="00C00342">
        <w:rPr>
          <w:rFonts w:asciiTheme="majorHAnsi" w:eastAsiaTheme="minorEastAsia" w:hAnsiTheme="majorHAnsi" w:cstheme="majorHAnsi"/>
          <w:i/>
          <w:color w:val="auto"/>
          <w:sz w:val="22"/>
          <w:szCs w:val="22"/>
          <w:lang w:eastAsia="it-IT"/>
        </w:rPr>
        <w:t>Esempio di strumenti per l’analisi organizzativa</w:t>
      </w:r>
    </w:p>
    <w:p w14:paraId="3DE2E167" w14:textId="698C1917" w:rsidR="00087BB2" w:rsidRDefault="00C00342" w:rsidP="00C00342">
      <w:pPr>
        <w:pStyle w:val="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720"/>
        </w:tabs>
        <w:spacing w:line="307" w:lineRule="auto"/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</w:pPr>
      <w:r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  <w:t xml:space="preserve">L’analisi organizzativa richiede la raccolta di diverse informazioni qualitative e si avvale spesso di strumenti quali le interviste e i focus </w:t>
      </w:r>
      <w:proofErr w:type="spellStart"/>
      <w:r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  <w:t>group</w:t>
      </w:r>
      <w:proofErr w:type="spellEnd"/>
      <w:r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  <w:t xml:space="preserve"> con management e dipendenti. </w:t>
      </w:r>
    </w:p>
    <w:p w14:paraId="01ED636D" w14:textId="6ECB8534" w:rsidR="00C00342" w:rsidRDefault="00C00342" w:rsidP="00C00342">
      <w:pPr>
        <w:pStyle w:val="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720"/>
        </w:tabs>
        <w:spacing w:line="307" w:lineRule="auto"/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</w:pPr>
      <w:r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  <w:t>Le aree che possono essere indagate per favorire la comprensione dell’organizzazione comprendono i valori espliciti ed impliciti dell’Amministrazione, le modalità e le procedure per la comunicazione interna e per la creazione del consenso, le modalità di coinvolgimento del personale nella definizione degli obiettivi e della strategia dell’Amministrazione, le modalità di valutazione degli obiettivi e dei processi di lavoro.</w:t>
      </w:r>
    </w:p>
    <w:p w14:paraId="74C064BF" w14:textId="77777777" w:rsidR="00384AF1" w:rsidRPr="005D2269" w:rsidRDefault="00384AF1" w:rsidP="001B7E67">
      <w:pPr>
        <w:pStyle w:val="Testo"/>
        <w:tabs>
          <w:tab w:val="clear" w:pos="720"/>
        </w:tabs>
        <w:spacing w:line="307" w:lineRule="auto"/>
        <w:rPr>
          <w:rFonts w:asciiTheme="majorHAnsi" w:eastAsiaTheme="minorEastAsia" w:hAnsiTheme="majorHAnsi" w:cstheme="majorHAnsi"/>
          <w:color w:val="auto"/>
          <w:sz w:val="22"/>
          <w:szCs w:val="22"/>
          <w:lang w:eastAsia="it-IT"/>
        </w:rPr>
      </w:pPr>
    </w:p>
    <w:p w14:paraId="413DD3FE" w14:textId="25419D6F" w:rsidR="00087BB2" w:rsidRPr="00087BB2" w:rsidRDefault="00087BB2" w:rsidP="00087BB2">
      <w:pPr>
        <w:spacing w:line="276" w:lineRule="auto"/>
        <w:jc w:val="both"/>
        <w:rPr>
          <w:rFonts w:asciiTheme="majorHAnsi" w:hAnsiTheme="majorHAnsi" w:cstheme="majorHAnsi"/>
          <w:i/>
          <w:sz w:val="22"/>
          <w:szCs w:val="22"/>
          <w:lang w:val="it-IT"/>
        </w:rPr>
      </w:pPr>
      <w:r w:rsidRPr="00087BB2">
        <w:rPr>
          <w:rFonts w:asciiTheme="majorHAnsi" w:hAnsiTheme="majorHAnsi" w:cstheme="majorHAnsi"/>
          <w:i/>
          <w:sz w:val="22"/>
          <w:szCs w:val="22"/>
          <w:lang w:val="it-IT"/>
        </w:rPr>
        <w:t>Linee-guida per l’analisi della dotazione tecnologica</w:t>
      </w:r>
      <w:r w:rsidR="00C5773E">
        <w:rPr>
          <w:rFonts w:asciiTheme="majorHAnsi" w:hAnsiTheme="majorHAnsi" w:cstheme="majorHAnsi"/>
          <w:i/>
          <w:sz w:val="22"/>
          <w:szCs w:val="22"/>
          <w:lang w:val="it-IT"/>
        </w:rPr>
        <w:t xml:space="preserve"> e dell’organizzazione degli spazi</w:t>
      </w:r>
    </w:p>
    <w:p w14:paraId="669A3569" w14:textId="20D05625" w:rsidR="00C5773E" w:rsidRDefault="00C5773E" w:rsidP="00087BB2">
      <w:p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L’adozione di modalità di lavoro agile è facilitata dalle possibilità offerte dalla tecnologia, sia in termini di strumenti che di processi. Sebbene, infatti, l’utilizzo di dispositivi e applicazioni informatiche non siano vincolanti per il lavoro agile, è indubbio che possono costituire un potente strumento per facilitare il lavoro da remoto.</w:t>
      </w:r>
    </w:p>
    <w:p w14:paraId="48FA6C34" w14:textId="4BABD082" w:rsidR="00C5773E" w:rsidRDefault="00C5773E" w:rsidP="00087BB2">
      <w:p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Nella fase di </w:t>
      </w:r>
      <w:proofErr w:type="spellStart"/>
      <w:r>
        <w:rPr>
          <w:rFonts w:asciiTheme="majorHAnsi" w:hAnsiTheme="majorHAnsi" w:cstheme="majorHAnsi"/>
          <w:sz w:val="22"/>
          <w:szCs w:val="22"/>
          <w:lang w:val="it-IT"/>
        </w:rPr>
        <w:t>check</w:t>
      </w:r>
      <w:proofErr w:type="spellEnd"/>
      <w:r>
        <w:rPr>
          <w:rFonts w:asciiTheme="majorHAnsi" w:hAnsiTheme="majorHAnsi" w:cstheme="majorHAnsi"/>
          <w:sz w:val="22"/>
          <w:szCs w:val="22"/>
          <w:lang w:val="it-IT"/>
        </w:rPr>
        <w:t xml:space="preserve"> up, è utile indagare l’area tecnologica, in relazione a diversi elementi, quali:</w:t>
      </w:r>
    </w:p>
    <w:p w14:paraId="48976169" w14:textId="5413B4BE" w:rsidR="00C5773E" w:rsidRDefault="00C5773E" w:rsidP="00C5773E">
      <w:pPr>
        <w:pStyle w:val="Paragrafoelenco"/>
        <w:numPr>
          <w:ilvl w:val="0"/>
          <w:numId w:val="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it-IT"/>
        </w:rPr>
      </w:pPr>
      <w:r w:rsidRPr="00C5773E">
        <w:rPr>
          <w:rFonts w:asciiTheme="majorHAnsi" w:hAnsiTheme="majorHAnsi" w:cstheme="majorHAnsi"/>
          <w:sz w:val="22"/>
          <w:szCs w:val="22"/>
          <w:lang w:val="it-IT"/>
        </w:rPr>
        <w:t xml:space="preserve">il livello di digitalizzazione dei processi di lavoro </w:t>
      </w:r>
    </w:p>
    <w:p w14:paraId="24356E0C" w14:textId="25D1DED7" w:rsidR="00C5773E" w:rsidRDefault="00C5773E" w:rsidP="00C5773E">
      <w:pPr>
        <w:pStyle w:val="Paragrafoelenco"/>
        <w:numPr>
          <w:ilvl w:val="0"/>
          <w:numId w:val="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la dotazione tecnologia a disposizione dell’Amministrazione</w:t>
      </w:r>
    </w:p>
    <w:p w14:paraId="30CB7CA8" w14:textId="7F5EB16C" w:rsidR="00C5773E" w:rsidRDefault="00C5773E" w:rsidP="00C5773E">
      <w:pPr>
        <w:pStyle w:val="Paragrafoelenco"/>
        <w:numPr>
          <w:ilvl w:val="0"/>
          <w:numId w:val="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le competenze digitali del personale e l’abitudine a lavorare con modalità supportate dalla tecnologia (es. condivisione di documenti, lavoro a distanza, ecc.)</w:t>
      </w:r>
    </w:p>
    <w:p w14:paraId="0F2C483A" w14:textId="77777777" w:rsidR="006F3021" w:rsidRDefault="006F3021" w:rsidP="006F3021">
      <w:p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it-IT"/>
        </w:rPr>
      </w:pPr>
    </w:p>
    <w:p w14:paraId="682BE576" w14:textId="102A9308" w:rsidR="006F3021" w:rsidRDefault="006F3021" w:rsidP="006F3021">
      <w:p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 xml:space="preserve">Il lavoro agile è una modalità di lavoro che favorisce anche il ripensamento e l’organizzazione degli spazi di lavoro, verso </w:t>
      </w:r>
      <w:r w:rsidR="001B7E67">
        <w:rPr>
          <w:rFonts w:asciiTheme="majorHAnsi" w:hAnsiTheme="majorHAnsi" w:cstheme="majorHAnsi"/>
          <w:sz w:val="22"/>
          <w:szCs w:val="22"/>
          <w:lang w:val="it-IT"/>
        </w:rPr>
        <w:t xml:space="preserve">approcci che valorizzano la condivisione e l’ottimizzazione degli spazi. Nella fase di </w:t>
      </w:r>
      <w:proofErr w:type="spellStart"/>
      <w:r w:rsidR="001B7E67">
        <w:rPr>
          <w:rFonts w:asciiTheme="majorHAnsi" w:hAnsiTheme="majorHAnsi" w:cstheme="majorHAnsi"/>
          <w:sz w:val="22"/>
          <w:szCs w:val="22"/>
          <w:lang w:val="it-IT"/>
        </w:rPr>
        <w:t>check</w:t>
      </w:r>
      <w:proofErr w:type="spellEnd"/>
      <w:r w:rsidR="001B7E67">
        <w:rPr>
          <w:rFonts w:asciiTheme="majorHAnsi" w:hAnsiTheme="majorHAnsi" w:cstheme="majorHAnsi"/>
          <w:sz w:val="22"/>
          <w:szCs w:val="22"/>
          <w:lang w:val="it-IT"/>
        </w:rPr>
        <w:t xml:space="preserve"> up è quindi utile raccogliere informazioni su: </w:t>
      </w:r>
    </w:p>
    <w:p w14:paraId="40F2B15E" w14:textId="0D127AAE" w:rsidR="001B7E67" w:rsidRPr="001B7E67" w:rsidRDefault="001B7E67" w:rsidP="001B7E67">
      <w:pPr>
        <w:pStyle w:val="Paragrafoelenco"/>
        <w:numPr>
          <w:ilvl w:val="0"/>
          <w:numId w:val="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it-IT"/>
        </w:rPr>
      </w:pPr>
      <w:r w:rsidRPr="001B7E67">
        <w:rPr>
          <w:rFonts w:asciiTheme="majorHAnsi" w:hAnsiTheme="majorHAnsi" w:cstheme="majorHAnsi"/>
          <w:sz w:val="22"/>
          <w:szCs w:val="22"/>
          <w:lang w:val="it-IT"/>
        </w:rPr>
        <w:t>presenza di spazi sottoutilizzati o sovraffollati</w:t>
      </w:r>
    </w:p>
    <w:p w14:paraId="2FBAF388" w14:textId="35D82AE7" w:rsidR="001B7E67" w:rsidRPr="001B7E67" w:rsidRDefault="001B7E67" w:rsidP="001B7E67">
      <w:pPr>
        <w:pStyle w:val="Paragrafoelenco"/>
        <w:numPr>
          <w:ilvl w:val="0"/>
          <w:numId w:val="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it-IT"/>
        </w:rPr>
      </w:pPr>
      <w:r>
        <w:rPr>
          <w:rFonts w:asciiTheme="majorHAnsi" w:hAnsiTheme="majorHAnsi" w:cstheme="majorHAnsi"/>
          <w:sz w:val="22"/>
          <w:szCs w:val="22"/>
          <w:lang w:val="it-IT"/>
        </w:rPr>
        <w:t>scelte logistiche dell’Amministrazione rispetto all’organizzazione degli spazi</w:t>
      </w:r>
    </w:p>
    <w:p w14:paraId="6B2DB5CC" w14:textId="623EF477" w:rsidR="00087BB2" w:rsidRDefault="00087BB2" w:rsidP="00087BB2">
      <w:p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it-IT"/>
        </w:rPr>
      </w:pPr>
    </w:p>
    <w:p w14:paraId="018A1DDE" w14:textId="77777777" w:rsidR="005D2269" w:rsidRPr="005D2269" w:rsidRDefault="005D2269" w:rsidP="005D2269">
      <w:pPr>
        <w:jc w:val="both"/>
        <w:rPr>
          <w:rFonts w:asciiTheme="majorHAnsi" w:hAnsiTheme="majorHAnsi" w:cstheme="majorHAnsi"/>
          <w:sz w:val="22"/>
          <w:szCs w:val="22"/>
          <w:lang w:val="it-IT"/>
        </w:rPr>
      </w:pPr>
    </w:p>
    <w:p w14:paraId="148F14CE" w14:textId="77777777" w:rsidR="000C009B" w:rsidRPr="005D2269" w:rsidRDefault="000C009B" w:rsidP="005D2269">
      <w:pPr>
        <w:pStyle w:val="Paragrafoelenco"/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it-IT"/>
        </w:rPr>
      </w:pPr>
    </w:p>
    <w:p w14:paraId="52106E83" w14:textId="77777777" w:rsidR="005D2269" w:rsidRDefault="005D2269">
      <w:pPr>
        <w:jc w:val="both"/>
        <w:rPr>
          <w:rFonts w:asciiTheme="majorHAnsi" w:hAnsiTheme="majorHAnsi" w:cstheme="majorHAnsi"/>
          <w:lang w:val="it-IT"/>
        </w:rPr>
      </w:pPr>
      <w:bookmarkStart w:id="0" w:name="_GoBack"/>
      <w:bookmarkEnd w:id="0"/>
    </w:p>
    <w:sectPr w:rsidR="005D2269" w:rsidSect="009C6819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93249E" w14:textId="77777777" w:rsidR="00362DD3" w:rsidRDefault="00362DD3" w:rsidP="005D2269">
      <w:r>
        <w:separator/>
      </w:r>
    </w:p>
  </w:endnote>
  <w:endnote w:type="continuationSeparator" w:id="0">
    <w:p w14:paraId="38BB1E54" w14:textId="77777777" w:rsidR="00362DD3" w:rsidRDefault="00362DD3" w:rsidP="005D2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8B7C8D" w14:textId="77777777" w:rsidR="00362DD3" w:rsidRDefault="00362DD3" w:rsidP="005D2269">
      <w:r>
        <w:separator/>
      </w:r>
    </w:p>
  </w:footnote>
  <w:footnote w:type="continuationSeparator" w:id="0">
    <w:p w14:paraId="067123CA" w14:textId="77777777" w:rsidR="00362DD3" w:rsidRDefault="00362DD3" w:rsidP="005D22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F7BE4"/>
    <w:multiLevelType w:val="hybridMultilevel"/>
    <w:tmpl w:val="3864B1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6A6B71"/>
    <w:multiLevelType w:val="hybridMultilevel"/>
    <w:tmpl w:val="5F4662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5258ED"/>
    <w:multiLevelType w:val="hybridMultilevel"/>
    <w:tmpl w:val="70FE3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FF4218"/>
    <w:multiLevelType w:val="hybridMultilevel"/>
    <w:tmpl w:val="911EBD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D915C2"/>
    <w:multiLevelType w:val="hybridMultilevel"/>
    <w:tmpl w:val="CFAA63F2"/>
    <w:lvl w:ilvl="0" w:tplc="BE80C84E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aj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BC666D"/>
    <w:multiLevelType w:val="hybridMultilevel"/>
    <w:tmpl w:val="5B009A6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754600"/>
    <w:multiLevelType w:val="hybridMultilevel"/>
    <w:tmpl w:val="090E9BFA"/>
    <w:lvl w:ilvl="0" w:tplc="D8A8598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aj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80D"/>
    <w:rsid w:val="00003196"/>
    <w:rsid w:val="000055C2"/>
    <w:rsid w:val="00054148"/>
    <w:rsid w:val="00087BB2"/>
    <w:rsid w:val="000B0FD4"/>
    <w:rsid w:val="000C009B"/>
    <w:rsid w:val="00103150"/>
    <w:rsid w:val="00111223"/>
    <w:rsid w:val="00115E28"/>
    <w:rsid w:val="00180FDC"/>
    <w:rsid w:val="001A7E0C"/>
    <w:rsid w:val="001B7E67"/>
    <w:rsid w:val="001D487A"/>
    <w:rsid w:val="00253300"/>
    <w:rsid w:val="00253808"/>
    <w:rsid w:val="00283464"/>
    <w:rsid w:val="00324625"/>
    <w:rsid w:val="0033721E"/>
    <w:rsid w:val="00357DF6"/>
    <w:rsid w:val="00362DD3"/>
    <w:rsid w:val="00384AF1"/>
    <w:rsid w:val="003928B7"/>
    <w:rsid w:val="003E6800"/>
    <w:rsid w:val="003F5765"/>
    <w:rsid w:val="003F788B"/>
    <w:rsid w:val="0042638A"/>
    <w:rsid w:val="00450D8A"/>
    <w:rsid w:val="004655E7"/>
    <w:rsid w:val="004E280D"/>
    <w:rsid w:val="00545386"/>
    <w:rsid w:val="005D2269"/>
    <w:rsid w:val="00602874"/>
    <w:rsid w:val="006669D3"/>
    <w:rsid w:val="00670893"/>
    <w:rsid w:val="00680F20"/>
    <w:rsid w:val="00694481"/>
    <w:rsid w:val="006F3021"/>
    <w:rsid w:val="007401E8"/>
    <w:rsid w:val="00774040"/>
    <w:rsid w:val="007A1379"/>
    <w:rsid w:val="007E6667"/>
    <w:rsid w:val="007F3468"/>
    <w:rsid w:val="00860F3C"/>
    <w:rsid w:val="00863252"/>
    <w:rsid w:val="0086443B"/>
    <w:rsid w:val="008A2962"/>
    <w:rsid w:val="008C1B52"/>
    <w:rsid w:val="00956681"/>
    <w:rsid w:val="009C6819"/>
    <w:rsid w:val="009E039F"/>
    <w:rsid w:val="00A57F92"/>
    <w:rsid w:val="00A95BE6"/>
    <w:rsid w:val="00AB1606"/>
    <w:rsid w:val="00AB2EC1"/>
    <w:rsid w:val="00AD3E25"/>
    <w:rsid w:val="00AE1E81"/>
    <w:rsid w:val="00AE6FB2"/>
    <w:rsid w:val="00B01FE0"/>
    <w:rsid w:val="00B815BA"/>
    <w:rsid w:val="00BA1F1E"/>
    <w:rsid w:val="00BD7C97"/>
    <w:rsid w:val="00BE7CCC"/>
    <w:rsid w:val="00C00342"/>
    <w:rsid w:val="00C02D20"/>
    <w:rsid w:val="00C5773E"/>
    <w:rsid w:val="00CC5DCC"/>
    <w:rsid w:val="00CF5D2E"/>
    <w:rsid w:val="00D17E5E"/>
    <w:rsid w:val="00D310B9"/>
    <w:rsid w:val="00DA67BD"/>
    <w:rsid w:val="00DE2925"/>
    <w:rsid w:val="00E311BA"/>
    <w:rsid w:val="00E71EE5"/>
    <w:rsid w:val="00F07776"/>
    <w:rsid w:val="00F1653A"/>
    <w:rsid w:val="00FC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A24413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lang w:val="en-GB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5D2E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F5D2E"/>
    <w:rPr>
      <w:rFonts w:ascii="Lucida Grande" w:hAnsi="Lucida Grande"/>
      <w:sz w:val="18"/>
      <w:szCs w:val="18"/>
      <w:lang w:val="en-GB"/>
    </w:rPr>
  </w:style>
  <w:style w:type="character" w:styleId="Collegamentoipertestuale">
    <w:name w:val="Hyperlink"/>
    <w:basedOn w:val="Caratterepredefinitoparagrafo"/>
    <w:uiPriority w:val="99"/>
    <w:unhideWhenUsed/>
    <w:rsid w:val="00CF5D2E"/>
    <w:rPr>
      <w:color w:val="0000FF" w:themeColor="hyperlink"/>
      <w:u w:val="single"/>
    </w:rPr>
  </w:style>
  <w:style w:type="character" w:styleId="Collegamentovisitato">
    <w:name w:val="FollowedHyperlink"/>
    <w:basedOn w:val="Caratterepredefinitoparagrafo"/>
    <w:uiPriority w:val="99"/>
    <w:semiHidden/>
    <w:unhideWhenUsed/>
    <w:rsid w:val="00B01FE0"/>
    <w:rPr>
      <w:color w:val="800080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009E039F"/>
    <w:pPr>
      <w:ind w:left="720"/>
      <w:contextualSpacing/>
    </w:pPr>
  </w:style>
  <w:style w:type="character" w:styleId="Rimandocommento">
    <w:name w:val="annotation reference"/>
    <w:basedOn w:val="Caratterepredefinitoparagrafo"/>
    <w:uiPriority w:val="99"/>
    <w:semiHidden/>
    <w:unhideWhenUsed/>
    <w:rsid w:val="0086325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63252"/>
    <w:rPr>
      <w:sz w:val="20"/>
      <w:szCs w:val="20"/>
    </w:rPr>
  </w:style>
  <w:style w:type="character" w:customStyle="1" w:styleId="TestocommentoCarattere">
    <w:name w:val="Testo commento Carattere"/>
    <w:basedOn w:val="Caratterepredefinitoparagrafo"/>
    <w:link w:val="Testocommento"/>
    <w:uiPriority w:val="99"/>
    <w:semiHidden/>
    <w:rsid w:val="00863252"/>
    <w:rPr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6325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63252"/>
    <w:rPr>
      <w:b/>
      <w:bCs/>
      <w:sz w:val="20"/>
      <w:szCs w:val="20"/>
      <w:lang w:val="en-GB"/>
    </w:rPr>
  </w:style>
  <w:style w:type="table" w:styleId="Grigliatabella">
    <w:name w:val="Table Grid"/>
    <w:basedOn w:val="Tabellanormale"/>
    <w:uiPriority w:val="59"/>
    <w:rsid w:val="00666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aliases w:val="Testo nota a piè di pagina Carattere1,Testo nota a piè di pagina Carattere Carattere,stile 1 Carattere Carattere,Footnote Carattere Carattere,Footnote1 Carattere Carattere,Footnote2 Carattere Carattere,stile 1 Carattere1,stile"/>
    <w:basedOn w:val="Normale"/>
    <w:link w:val="TestonotaapidipaginaCarattere"/>
    <w:uiPriority w:val="99"/>
    <w:qFormat/>
    <w:rsid w:val="005D2269"/>
    <w:pPr>
      <w:jc w:val="both"/>
    </w:pPr>
    <w:rPr>
      <w:rFonts w:ascii="Times New Roman" w:eastAsia="Times New Roman" w:hAnsi="Times New Roman" w:cs="Times New Roman"/>
      <w:sz w:val="20"/>
      <w:szCs w:val="20"/>
      <w:lang w:val="it-IT" w:eastAsia="en-US"/>
    </w:rPr>
  </w:style>
  <w:style w:type="character" w:customStyle="1" w:styleId="TestonotaapidipaginaCarattere">
    <w:name w:val="Testo nota a piè di pagina Carattere"/>
    <w:aliases w:val="Testo nota a piè di pagina Carattere1 Carattere,Testo nota a piè di pagina Carattere Carattere Carattere,stile 1 Carattere Carattere Carattere,Footnote Carattere Carattere Carattere,stile 1 Carattere1 Carattere"/>
    <w:basedOn w:val="Caratterepredefinitoparagrafo"/>
    <w:link w:val="Testonotaapidipagina"/>
    <w:uiPriority w:val="99"/>
    <w:rsid w:val="005D2269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Rimandonotaapidipagina">
    <w:name w:val="footnote reference"/>
    <w:aliases w:val="stylish,ESPON Footnote No,Appel note,footnote sign,Rimando nota a piè di pagina Carattere,nota Carattere,nota,Rimando nota a piè di pagina1,Footnote symbol,Rimando nota a piè di pagina-IMONT,Odwołanie przypisu,footnote ref"/>
    <w:uiPriority w:val="99"/>
    <w:rsid w:val="005D2269"/>
    <w:rPr>
      <w:vertAlign w:val="superscript"/>
    </w:rPr>
  </w:style>
  <w:style w:type="paragraph" w:customStyle="1" w:styleId="Testo">
    <w:name w:val="Testo"/>
    <w:basedOn w:val="Normale"/>
    <w:link w:val="TestoChar"/>
    <w:qFormat/>
    <w:rsid w:val="005D2269"/>
    <w:pPr>
      <w:tabs>
        <w:tab w:val="left" w:pos="0"/>
        <w:tab w:val="num" w:pos="720"/>
      </w:tabs>
      <w:spacing w:after="40"/>
      <w:jc w:val="both"/>
    </w:pPr>
    <w:rPr>
      <w:rFonts w:ascii="Times New Roman" w:eastAsia="ヒラギノ角ゴ Pro W3" w:hAnsi="Times New Roman" w:cs="Times New Roman"/>
      <w:color w:val="000000"/>
      <w:lang w:val="it-IT" w:eastAsia="en-US"/>
    </w:rPr>
  </w:style>
  <w:style w:type="character" w:customStyle="1" w:styleId="TestoChar">
    <w:name w:val="Testo Char"/>
    <w:link w:val="Testo"/>
    <w:rsid w:val="005D2269"/>
    <w:rPr>
      <w:rFonts w:ascii="Times New Roman" w:eastAsia="ヒラギノ角ゴ Pro W3" w:hAnsi="Times New Roman" w:cs="Times New Roman"/>
      <w:color w:val="000000"/>
      <w:lang w:eastAsia="en-US"/>
    </w:rPr>
  </w:style>
  <w:style w:type="paragraph" w:styleId="Revisione">
    <w:name w:val="Revision"/>
    <w:hidden/>
    <w:uiPriority w:val="99"/>
    <w:semiHidden/>
    <w:rsid w:val="00C02D20"/>
    <w:rPr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lang w:val="en-GB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5D2E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F5D2E"/>
    <w:rPr>
      <w:rFonts w:ascii="Lucida Grande" w:hAnsi="Lucida Grande"/>
      <w:sz w:val="18"/>
      <w:szCs w:val="18"/>
      <w:lang w:val="en-GB"/>
    </w:rPr>
  </w:style>
  <w:style w:type="character" w:styleId="Collegamentoipertestuale">
    <w:name w:val="Hyperlink"/>
    <w:basedOn w:val="Caratterepredefinitoparagrafo"/>
    <w:uiPriority w:val="99"/>
    <w:unhideWhenUsed/>
    <w:rsid w:val="00CF5D2E"/>
    <w:rPr>
      <w:color w:val="0000FF" w:themeColor="hyperlink"/>
      <w:u w:val="single"/>
    </w:rPr>
  </w:style>
  <w:style w:type="character" w:styleId="Collegamentovisitato">
    <w:name w:val="FollowedHyperlink"/>
    <w:basedOn w:val="Caratterepredefinitoparagrafo"/>
    <w:uiPriority w:val="99"/>
    <w:semiHidden/>
    <w:unhideWhenUsed/>
    <w:rsid w:val="00B01FE0"/>
    <w:rPr>
      <w:color w:val="800080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009E039F"/>
    <w:pPr>
      <w:ind w:left="720"/>
      <w:contextualSpacing/>
    </w:pPr>
  </w:style>
  <w:style w:type="character" w:styleId="Rimandocommento">
    <w:name w:val="annotation reference"/>
    <w:basedOn w:val="Caratterepredefinitoparagrafo"/>
    <w:uiPriority w:val="99"/>
    <w:semiHidden/>
    <w:unhideWhenUsed/>
    <w:rsid w:val="0086325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63252"/>
    <w:rPr>
      <w:sz w:val="20"/>
      <w:szCs w:val="20"/>
    </w:rPr>
  </w:style>
  <w:style w:type="character" w:customStyle="1" w:styleId="TestocommentoCarattere">
    <w:name w:val="Testo commento Carattere"/>
    <w:basedOn w:val="Caratterepredefinitoparagrafo"/>
    <w:link w:val="Testocommento"/>
    <w:uiPriority w:val="99"/>
    <w:semiHidden/>
    <w:rsid w:val="00863252"/>
    <w:rPr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6325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63252"/>
    <w:rPr>
      <w:b/>
      <w:bCs/>
      <w:sz w:val="20"/>
      <w:szCs w:val="20"/>
      <w:lang w:val="en-GB"/>
    </w:rPr>
  </w:style>
  <w:style w:type="table" w:styleId="Grigliatabella">
    <w:name w:val="Table Grid"/>
    <w:basedOn w:val="Tabellanormale"/>
    <w:uiPriority w:val="59"/>
    <w:rsid w:val="00666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aliases w:val="Testo nota a piè di pagina Carattere1,Testo nota a piè di pagina Carattere Carattere,stile 1 Carattere Carattere,Footnote Carattere Carattere,Footnote1 Carattere Carattere,Footnote2 Carattere Carattere,stile 1 Carattere1,stile"/>
    <w:basedOn w:val="Normale"/>
    <w:link w:val="TestonotaapidipaginaCarattere"/>
    <w:uiPriority w:val="99"/>
    <w:qFormat/>
    <w:rsid w:val="005D2269"/>
    <w:pPr>
      <w:jc w:val="both"/>
    </w:pPr>
    <w:rPr>
      <w:rFonts w:ascii="Times New Roman" w:eastAsia="Times New Roman" w:hAnsi="Times New Roman" w:cs="Times New Roman"/>
      <w:sz w:val="20"/>
      <w:szCs w:val="20"/>
      <w:lang w:val="it-IT" w:eastAsia="en-US"/>
    </w:rPr>
  </w:style>
  <w:style w:type="character" w:customStyle="1" w:styleId="TestonotaapidipaginaCarattere">
    <w:name w:val="Testo nota a piè di pagina Carattere"/>
    <w:aliases w:val="Testo nota a piè di pagina Carattere1 Carattere,Testo nota a piè di pagina Carattere Carattere Carattere,stile 1 Carattere Carattere Carattere,Footnote Carattere Carattere Carattere,stile 1 Carattere1 Carattere"/>
    <w:basedOn w:val="Caratterepredefinitoparagrafo"/>
    <w:link w:val="Testonotaapidipagina"/>
    <w:uiPriority w:val="99"/>
    <w:rsid w:val="005D2269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Rimandonotaapidipagina">
    <w:name w:val="footnote reference"/>
    <w:aliases w:val="stylish,ESPON Footnote No,Appel note,footnote sign,Rimando nota a piè di pagina Carattere,nota Carattere,nota,Rimando nota a piè di pagina1,Footnote symbol,Rimando nota a piè di pagina-IMONT,Odwołanie przypisu,footnote ref"/>
    <w:uiPriority w:val="99"/>
    <w:rsid w:val="005D2269"/>
    <w:rPr>
      <w:vertAlign w:val="superscript"/>
    </w:rPr>
  </w:style>
  <w:style w:type="paragraph" w:customStyle="1" w:styleId="Testo">
    <w:name w:val="Testo"/>
    <w:basedOn w:val="Normale"/>
    <w:link w:val="TestoChar"/>
    <w:qFormat/>
    <w:rsid w:val="005D2269"/>
    <w:pPr>
      <w:tabs>
        <w:tab w:val="left" w:pos="0"/>
        <w:tab w:val="num" w:pos="720"/>
      </w:tabs>
      <w:spacing w:after="40"/>
      <w:jc w:val="both"/>
    </w:pPr>
    <w:rPr>
      <w:rFonts w:ascii="Times New Roman" w:eastAsia="ヒラギノ角ゴ Pro W3" w:hAnsi="Times New Roman" w:cs="Times New Roman"/>
      <w:color w:val="000000"/>
      <w:lang w:val="it-IT" w:eastAsia="en-US"/>
    </w:rPr>
  </w:style>
  <w:style w:type="character" w:customStyle="1" w:styleId="TestoChar">
    <w:name w:val="Testo Char"/>
    <w:link w:val="Testo"/>
    <w:rsid w:val="005D2269"/>
    <w:rPr>
      <w:rFonts w:ascii="Times New Roman" w:eastAsia="ヒラギノ角ゴ Pro W3" w:hAnsi="Times New Roman" w:cs="Times New Roman"/>
      <w:color w:val="000000"/>
      <w:lang w:eastAsia="en-US"/>
    </w:rPr>
  </w:style>
  <w:style w:type="paragraph" w:styleId="Revisione">
    <w:name w:val="Revision"/>
    <w:hidden/>
    <w:uiPriority w:val="99"/>
    <w:semiHidden/>
    <w:rsid w:val="00C02D2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4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51DC5-B668-FC4D-A1BE-844214C01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770</Words>
  <Characters>4392</Characters>
  <Application>Microsoft Macintosh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COME</Company>
  <LinksUpToDate>false</LinksUpToDate>
  <CharactersWithSpaces>5152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 Romanelli</dc:creator>
  <cp:lastModifiedBy>Martina Romanelli</cp:lastModifiedBy>
  <cp:revision>2</cp:revision>
  <dcterms:created xsi:type="dcterms:W3CDTF">2018-12-10T16:51:00Z</dcterms:created>
  <dcterms:modified xsi:type="dcterms:W3CDTF">2018-12-10T16:51:00Z</dcterms:modified>
</cp:coreProperties>
</file>